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A7F" w:rsidRPr="00F11025" w:rsidRDefault="00181286" w:rsidP="00F86A7F">
      <w:pPr>
        <w:pStyle w:val="Heading3"/>
        <w:ind w:firstLine="8460"/>
        <w:rPr>
          <w:rFonts w:ascii="Times New Roman" w:hAnsi="Times New Roman" w:cs="Times New Roman"/>
          <w:caps/>
          <w:sz w:val="24"/>
          <w:szCs w:val="24"/>
        </w:rPr>
      </w:pPr>
      <w:bookmarkStart w:id="0" w:name="_GoBack"/>
      <w:bookmarkEnd w:id="0"/>
      <w:r>
        <w:rPr>
          <w:rFonts w:ascii="Times New Roman" w:hAnsi="Times New Roman" w:cs="Times New Roman"/>
          <w:noProof/>
          <w:sz w:val="24"/>
          <w:szCs w:val="20"/>
          <w:lang w:eastAsia="lt-LT"/>
        </w:rPr>
        <w:drawing>
          <wp:anchor distT="0" distB="0" distL="114300" distR="114300" simplePos="0" relativeHeight="251657728" behindDoc="0" locked="0" layoutInCell="0" allowOverlap="1">
            <wp:simplePos x="0" y="0"/>
            <wp:positionH relativeFrom="page">
              <wp:posOffset>3787140</wp:posOffset>
            </wp:positionH>
            <wp:positionV relativeFrom="page">
              <wp:posOffset>720090</wp:posOffset>
            </wp:positionV>
            <wp:extent cx="543560" cy="6000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1223" w:rsidRDefault="00521223" w:rsidP="00F86A7F">
      <w:pPr>
        <w:spacing w:before="160"/>
        <w:jc w:val="center"/>
        <w:rPr>
          <w:b/>
          <w:caps/>
        </w:rPr>
      </w:pPr>
    </w:p>
    <w:p w:rsidR="00C10F99" w:rsidRPr="00F11025" w:rsidRDefault="00C10F99" w:rsidP="00F86A7F">
      <w:pPr>
        <w:spacing w:before="160"/>
        <w:jc w:val="center"/>
        <w:rPr>
          <w:b/>
          <w:caps/>
        </w:rPr>
      </w:pPr>
      <w:r w:rsidRPr="00F11025">
        <w:rPr>
          <w:b/>
          <w:caps/>
        </w:rPr>
        <w:t>vALSTYBINĖ KAINŲ IR ENERGETIKOS KONTROLĖS KOMISIJA</w:t>
      </w:r>
    </w:p>
    <w:p w:rsidR="00C10F99" w:rsidRPr="00F11025" w:rsidRDefault="00C10F99" w:rsidP="00C10F99">
      <w:pPr>
        <w:jc w:val="center"/>
        <w:rPr>
          <w:b/>
          <w:caps/>
        </w:rPr>
      </w:pPr>
    </w:p>
    <w:p w:rsidR="00C10F99" w:rsidRPr="00F11025" w:rsidRDefault="00C10F99" w:rsidP="00521223">
      <w:pPr>
        <w:jc w:val="center"/>
        <w:rPr>
          <w:b/>
          <w:bCs/>
          <w:caps/>
        </w:rPr>
      </w:pPr>
      <w:r w:rsidRPr="00F11025">
        <w:rPr>
          <w:b/>
          <w:bCs/>
          <w:caps/>
        </w:rPr>
        <w:t>NUTARIMAS</w:t>
      </w:r>
    </w:p>
    <w:p w:rsidR="0056158A" w:rsidRPr="00F11025" w:rsidRDefault="0056158A" w:rsidP="00521223">
      <w:pPr>
        <w:pStyle w:val="BodyTextIndent2"/>
        <w:ind w:left="0"/>
        <w:jc w:val="center"/>
        <w:rPr>
          <w:b/>
          <w:caps/>
        </w:rPr>
      </w:pPr>
      <w:r w:rsidRPr="00F11025">
        <w:rPr>
          <w:b/>
          <w:bCs/>
          <w:caps/>
        </w:rPr>
        <w:t xml:space="preserve">dėl </w:t>
      </w:r>
      <w:r w:rsidRPr="00F11025">
        <w:rPr>
          <w:b/>
          <w:caps/>
        </w:rPr>
        <w:t>elektros energijos rezervinės galios rinkOS TYRImo ReZULTATų</w:t>
      </w:r>
    </w:p>
    <w:p w:rsidR="00C10F99" w:rsidRPr="00F11025" w:rsidRDefault="00C10F99" w:rsidP="00521223">
      <w:pPr>
        <w:jc w:val="center"/>
      </w:pPr>
    </w:p>
    <w:p w:rsidR="00C10F99" w:rsidRPr="00F11025" w:rsidRDefault="00C10F99" w:rsidP="00C10F99">
      <w:pPr>
        <w:jc w:val="center"/>
      </w:pPr>
      <w:r w:rsidRPr="00F11025">
        <w:t xml:space="preserve">2012 m. </w:t>
      </w:r>
      <w:r w:rsidR="006627B9">
        <w:t>rugsėjo 28</w:t>
      </w:r>
      <w:r w:rsidRPr="00F11025">
        <w:t xml:space="preserve"> d. Nr. O3-</w:t>
      </w:r>
      <w:r w:rsidR="00E87198">
        <w:t>274</w:t>
      </w:r>
    </w:p>
    <w:p w:rsidR="00C10F99" w:rsidRPr="00F11025" w:rsidRDefault="00C10F99" w:rsidP="00C10F99">
      <w:pPr>
        <w:jc w:val="center"/>
      </w:pPr>
      <w:r w:rsidRPr="00F11025">
        <w:t>Vilnius</w:t>
      </w:r>
    </w:p>
    <w:p w:rsidR="00C10F99" w:rsidRPr="00F11025" w:rsidRDefault="00C10F99" w:rsidP="0056158A"/>
    <w:p w:rsidR="0056158A" w:rsidRPr="00F11025" w:rsidRDefault="0056158A" w:rsidP="0056158A">
      <w:pPr>
        <w:ind w:firstLine="709"/>
      </w:pPr>
      <w:r w:rsidRPr="00F11025">
        <w:t>Vadovaudamasi Lietuvos Respublikos energetikos įstatymo (Žin., 2002, Nr.</w:t>
      </w:r>
      <w:r w:rsidRPr="00F11025">
        <w:rPr>
          <w:bCs/>
        </w:rPr>
        <w:t xml:space="preserve"> 56-2224</w:t>
      </w:r>
      <w:r w:rsidR="00996396">
        <w:rPr>
          <w:bCs/>
        </w:rPr>
        <w:t>;</w:t>
      </w:r>
      <w:r w:rsidRPr="00F11025">
        <w:rPr>
          <w:bCs/>
        </w:rPr>
        <w:t xml:space="preserve"> </w:t>
      </w:r>
      <w:r w:rsidRPr="00F11025">
        <w:t>2011, Nr. 160-7576) 8 straipsnio 9 dalies 19 punktu</w:t>
      </w:r>
      <w:r w:rsidR="00C10F99" w:rsidRPr="00F11025">
        <w:t xml:space="preserve">, </w:t>
      </w:r>
      <w:r w:rsidRPr="00F11025">
        <w:t>Rinkų tyrimo taisyklėmis</w:t>
      </w:r>
      <w:r w:rsidR="00E926C8">
        <w:t>,</w:t>
      </w:r>
      <w:r w:rsidRPr="00F11025">
        <w:t xml:space="preserve"> </w:t>
      </w:r>
      <w:r w:rsidRPr="00E24EBD">
        <w:t xml:space="preserve">patvirtintomis Valstybinės energetikos ir kainų komisijos (toliau – Komisija) 2012 m. birželio 8 d. nutarimu Nr. O3-135 </w:t>
      </w:r>
      <w:r w:rsidR="006F605C">
        <w:br/>
      </w:r>
      <w:r w:rsidRPr="00E24EBD">
        <w:t>(Žin., 2012, Nr. 67-3460)</w:t>
      </w:r>
      <w:r w:rsidR="00280ABE">
        <w:t xml:space="preserve"> </w:t>
      </w:r>
      <w:r w:rsidR="00E926C8" w:rsidRPr="00F11025">
        <w:t xml:space="preserve">(toliau – Taisyklės), </w:t>
      </w:r>
      <w:r w:rsidR="00280ABE">
        <w:t xml:space="preserve">ir atsižvelgdama į </w:t>
      </w:r>
      <w:r w:rsidR="009F57AB" w:rsidRPr="00E24EBD">
        <w:t>Elektros energijos kainos ir rezervinės galios paslaugų kainų užtikrinimo metodik</w:t>
      </w:r>
      <w:r w:rsidR="00280ABE">
        <w:t>ą</w:t>
      </w:r>
      <w:r w:rsidR="009F57AB" w:rsidRPr="00E24EBD">
        <w:t>, patvirtint</w:t>
      </w:r>
      <w:r w:rsidR="00280ABE">
        <w:t>ą</w:t>
      </w:r>
      <w:r w:rsidR="009F57AB" w:rsidRPr="00E24EBD">
        <w:t xml:space="preserve"> Komisijos 2012 m. rugsėjo 1</w:t>
      </w:r>
      <w:r w:rsidR="00E24EBD" w:rsidRPr="00E24EBD">
        <w:t>4</w:t>
      </w:r>
      <w:r w:rsidR="009F57AB" w:rsidRPr="00E24EBD">
        <w:t xml:space="preserve"> d. nutarimu Nr. O3-</w:t>
      </w:r>
      <w:r w:rsidR="00E24EBD" w:rsidRPr="00E24EBD">
        <w:t>229</w:t>
      </w:r>
      <w:r w:rsidR="00C846D9">
        <w:t xml:space="preserve"> (Žin., 2012, Nr. </w:t>
      </w:r>
      <w:r w:rsidR="00C846D9">
        <w:rPr>
          <w:rStyle w:val="zinlist"/>
        </w:rPr>
        <w:t>108-5509</w:t>
      </w:r>
      <w:r w:rsidR="00C846D9">
        <w:t>)</w:t>
      </w:r>
      <w:r w:rsidR="00280ABE">
        <w:t>,</w:t>
      </w:r>
      <w:r w:rsidRPr="00E24EBD">
        <w:t xml:space="preserve"> Komisijos 2012 m. birželio 18 d. nutarimą </w:t>
      </w:r>
      <w:r w:rsidR="006F605C">
        <w:br/>
      </w:r>
      <w:r w:rsidRPr="00E24EBD">
        <w:t xml:space="preserve">Nr. O3-156 </w:t>
      </w:r>
      <w:r w:rsidRPr="00E24EBD">
        <w:rPr>
          <w:rStyle w:val="quatationtext"/>
        </w:rPr>
        <w:t xml:space="preserve">„Dėl elektros energijos rezervinės galios rinkos tyrimo pradžios“ (Žin., 2012, </w:t>
      </w:r>
      <w:r w:rsidR="006F605C">
        <w:rPr>
          <w:rStyle w:val="quatationtext"/>
        </w:rPr>
        <w:br/>
      </w:r>
      <w:r w:rsidRPr="00E24EBD">
        <w:rPr>
          <w:rStyle w:val="quatationtext"/>
        </w:rPr>
        <w:t>Nr. 69-3585)</w:t>
      </w:r>
      <w:r w:rsidRPr="00E24EBD">
        <w:t xml:space="preserve"> bei </w:t>
      </w:r>
      <w:r w:rsidR="006F605C">
        <w:t xml:space="preserve">Komisijos </w:t>
      </w:r>
      <w:r w:rsidR="00280ABE">
        <w:t xml:space="preserve">Rinkų tyrimų ir statistikos skyriaus </w:t>
      </w:r>
      <w:r w:rsidR="00C846D9">
        <w:t xml:space="preserve">2012 m. rugsėjo 14 d. </w:t>
      </w:r>
      <w:r w:rsidR="0099124C" w:rsidRPr="00E24EBD">
        <w:t>Elektros energijos rezervinės galios rinkos tyrimo ataskaitą</w:t>
      </w:r>
      <w:r w:rsidR="00C846D9">
        <w:t xml:space="preserve"> Nr.</w:t>
      </w:r>
      <w:r w:rsidR="00AD37BD">
        <w:t xml:space="preserve"> </w:t>
      </w:r>
      <w:r w:rsidR="00280ABE">
        <w:t>O13-4 ir</w:t>
      </w:r>
      <w:r w:rsidR="00C846D9">
        <w:rPr>
          <w:szCs w:val="24"/>
        </w:rPr>
        <w:t xml:space="preserve"> 2012 m. rugsėjo </w:t>
      </w:r>
      <w:r w:rsidR="007B75BD">
        <w:rPr>
          <w:szCs w:val="24"/>
        </w:rPr>
        <w:t>24</w:t>
      </w:r>
      <w:r w:rsidR="00C846D9">
        <w:rPr>
          <w:szCs w:val="24"/>
        </w:rPr>
        <w:t xml:space="preserve"> d. pažymą </w:t>
      </w:r>
      <w:r w:rsidR="00DF6C0B">
        <w:rPr>
          <w:szCs w:val="24"/>
        </w:rPr>
        <w:br/>
      </w:r>
      <w:r w:rsidR="007B75BD">
        <w:rPr>
          <w:szCs w:val="24"/>
        </w:rPr>
        <w:t>Nr. O5-241</w:t>
      </w:r>
      <w:r w:rsidR="00C846D9">
        <w:rPr>
          <w:szCs w:val="24"/>
        </w:rPr>
        <w:t xml:space="preserve"> „</w:t>
      </w:r>
      <w:r w:rsidR="00C846D9" w:rsidRPr="00230383">
        <w:t>Dėl Elektros energijos rezervinės galios rinkos tyrimo rezultatų“</w:t>
      </w:r>
      <w:r w:rsidR="0099124C" w:rsidRPr="00E24EBD">
        <w:t xml:space="preserve">, </w:t>
      </w:r>
      <w:r w:rsidRPr="00E24EBD">
        <w:t>Komisija nutaria:</w:t>
      </w:r>
    </w:p>
    <w:p w:rsidR="00C10F99" w:rsidRPr="00F11025" w:rsidRDefault="00C10F99" w:rsidP="0056158A">
      <w:pPr>
        <w:ind w:firstLine="709"/>
      </w:pPr>
      <w:r w:rsidRPr="00F11025">
        <w:t xml:space="preserve">1. Konstatuoti, kad: </w:t>
      </w:r>
    </w:p>
    <w:p w:rsidR="00F11025" w:rsidRPr="00F11025" w:rsidRDefault="00C10F99" w:rsidP="00F11025">
      <w:pPr>
        <w:ind w:firstLine="709"/>
      </w:pPr>
      <w:r w:rsidRPr="00F11025">
        <w:t>1.1.</w:t>
      </w:r>
      <w:r w:rsidR="00F11025" w:rsidRPr="00F11025">
        <w:t xml:space="preserve"> Elektros energijos rezervinės galios </w:t>
      </w:r>
      <w:r w:rsidR="00672596">
        <w:t>rinkos tyrimo metu nustatyta rinka apibrėžiama kaip</w:t>
      </w:r>
      <w:r w:rsidR="00F11025" w:rsidRPr="00F11025">
        <w:t xml:space="preserve"> pirminio aktyviosios galios rezervo, antrinio avarinio aktyviosios galios rezervo, antrinio aktyviosios galios rezervo nuokrypiams reguliuoti, tretinio aktyviosios galios rezervo, </w:t>
      </w:r>
      <w:r w:rsidR="00964DFC" w:rsidRPr="00F11025">
        <w:t>r</w:t>
      </w:r>
      <w:r w:rsidR="00964DFC">
        <w:t xml:space="preserve">eaktyviosios galios ir įtampos valdymo </w:t>
      </w:r>
      <w:r w:rsidR="00F11025" w:rsidRPr="00F11025">
        <w:t xml:space="preserve">bei </w:t>
      </w:r>
      <w:r w:rsidR="00964DFC" w:rsidRPr="00F11025">
        <w:t xml:space="preserve">avarijų, sutrikimų prevencijos ir jų likvidavimo </w:t>
      </w:r>
      <w:r w:rsidR="00F11025" w:rsidRPr="00F11025">
        <w:t>paslaugų visuma;</w:t>
      </w:r>
    </w:p>
    <w:p w:rsidR="00F11025" w:rsidRPr="00F11025" w:rsidRDefault="00F11025" w:rsidP="00F11025">
      <w:pPr>
        <w:ind w:firstLine="709"/>
      </w:pPr>
      <w:r w:rsidRPr="00F11025">
        <w:t xml:space="preserve">1.2. </w:t>
      </w:r>
      <w:r w:rsidR="00DF6C0B">
        <w:t>e</w:t>
      </w:r>
      <w:r w:rsidRPr="00F11025">
        <w:t>lektros energijos rezervinės galios rinkos geografine teritorija laikoma Lietuvos Respublikos teritorija</w:t>
      </w:r>
      <w:r w:rsidR="003D143E">
        <w:t>;</w:t>
      </w:r>
    </w:p>
    <w:p w:rsidR="00F11025" w:rsidRPr="00F11025" w:rsidRDefault="00F11025" w:rsidP="00F11025">
      <w:pPr>
        <w:ind w:firstLine="709"/>
      </w:pPr>
      <w:r w:rsidRPr="00F11025">
        <w:t xml:space="preserve">1.3. </w:t>
      </w:r>
      <w:r w:rsidR="00DF6C0B">
        <w:t>e</w:t>
      </w:r>
      <w:r w:rsidRPr="00F11025">
        <w:t>lektros energijos rezervinės galios paslaugas 2009</w:t>
      </w:r>
      <w:r w:rsidR="00DF6C0B">
        <w:noBreakHyphen/>
      </w:r>
      <w:r w:rsidRPr="00F11025">
        <w:t>2012 m</w:t>
      </w:r>
      <w:r w:rsidR="00DF6C0B">
        <w:t>etais</w:t>
      </w:r>
      <w:r w:rsidRPr="00F11025">
        <w:t xml:space="preserve"> teikė 3 asmenys: </w:t>
      </w:r>
      <w:r w:rsidR="00FC43ED">
        <w:br/>
      </w:r>
      <w:r w:rsidRPr="00F11025">
        <w:t>AB „ORLEN Lietuva“, UAB Kauno termofikacijos elektrinė, Lietuvos energija, AB</w:t>
      </w:r>
      <w:r w:rsidR="003D143E">
        <w:t>;</w:t>
      </w:r>
    </w:p>
    <w:p w:rsidR="00F11025" w:rsidRDefault="00F11025" w:rsidP="00F11025">
      <w:pPr>
        <w:ind w:firstLine="709"/>
      </w:pPr>
      <w:r w:rsidRPr="00F11025">
        <w:t xml:space="preserve">1.4. </w:t>
      </w:r>
      <w:r w:rsidR="00DF6C0B">
        <w:t>e</w:t>
      </w:r>
      <w:r w:rsidRPr="00F11025">
        <w:t>lektros energijos rezervinės galios rinkos koncentracijos laipsnis yra didelis</w:t>
      </w:r>
      <w:r w:rsidR="003D143E">
        <w:t>;</w:t>
      </w:r>
    </w:p>
    <w:p w:rsidR="00F84BBA" w:rsidRPr="00F11025" w:rsidRDefault="00F84BBA" w:rsidP="00DA4721">
      <w:pPr>
        <w:ind w:firstLine="709"/>
      </w:pPr>
      <w:r>
        <w:t xml:space="preserve">1.5. </w:t>
      </w:r>
      <w:r w:rsidR="00DF6C0B">
        <w:t>d</w:t>
      </w:r>
      <w:r>
        <w:t>idžiausią elektros energijos rezervinės galios rinkos dalį užima Lietuvos energija, AB. 2010</w:t>
      </w:r>
      <w:r w:rsidR="00DF6C0B">
        <w:noBreakHyphen/>
      </w:r>
      <w:r>
        <w:t>2012 m</w:t>
      </w:r>
      <w:r w:rsidR="00DF6C0B">
        <w:t>etais</w:t>
      </w:r>
      <w:r>
        <w:t xml:space="preserve"> Lietuvos energija, AB užimama </w:t>
      </w:r>
      <w:r w:rsidR="00491929">
        <w:t xml:space="preserve">elektros energijos rezervinės galios </w:t>
      </w:r>
      <w:r>
        <w:t>rinkos dalis sudarė ne mažiau nei 95 proc</w:t>
      </w:r>
      <w:r w:rsidR="003D143E">
        <w:t>.;</w:t>
      </w:r>
    </w:p>
    <w:p w:rsidR="00F11025" w:rsidRPr="00F11025" w:rsidRDefault="00F11025" w:rsidP="00DA4721">
      <w:pPr>
        <w:ind w:firstLine="709"/>
      </w:pPr>
      <w:r>
        <w:t>1.</w:t>
      </w:r>
      <w:r w:rsidR="00F84BBA">
        <w:t>6</w:t>
      </w:r>
      <w:r w:rsidRPr="00F11025">
        <w:t xml:space="preserve">. </w:t>
      </w:r>
      <w:r w:rsidR="00DF6C0B">
        <w:t>p</w:t>
      </w:r>
      <w:r w:rsidRPr="00F11025">
        <w:t xml:space="preserve">otencialios konkurencijos </w:t>
      </w:r>
      <w:r>
        <w:t xml:space="preserve">elektros energijos rezervinės galios rinkoje </w:t>
      </w:r>
      <w:r w:rsidRPr="00F11025">
        <w:t>nėra</w:t>
      </w:r>
      <w:r w:rsidR="003D143E">
        <w:t>;</w:t>
      </w:r>
    </w:p>
    <w:p w:rsidR="00F11025" w:rsidRPr="00F11025" w:rsidRDefault="00F11025" w:rsidP="00DA4721">
      <w:pPr>
        <w:ind w:firstLine="709"/>
      </w:pPr>
      <w:r>
        <w:t>1.</w:t>
      </w:r>
      <w:r w:rsidR="00F84BBA">
        <w:t>7</w:t>
      </w:r>
      <w:r w:rsidRPr="00F11025">
        <w:t xml:space="preserve">. </w:t>
      </w:r>
      <w:r w:rsidR="00DF6C0B">
        <w:t>e</w:t>
      </w:r>
      <w:r w:rsidRPr="00F11025">
        <w:t xml:space="preserve">gzistuoja įėjimo į rinką </w:t>
      </w:r>
      <w:r w:rsidR="00354657">
        <w:noBreakHyphen/>
      </w:r>
      <w:r w:rsidRPr="00F11025">
        <w:t xml:space="preserve"> infrastruktūros kontrolės ir prieigos prie finansinių išteklių </w:t>
      </w:r>
      <w:r w:rsidR="00354657">
        <w:noBreakHyphen/>
      </w:r>
      <w:r w:rsidRPr="00F11025">
        <w:t xml:space="preserve"> barjerai. Didžiausią infrastruktūrą turi Lietuvos energija, AB</w:t>
      </w:r>
      <w:r w:rsidR="003D143E">
        <w:t>;</w:t>
      </w:r>
    </w:p>
    <w:p w:rsidR="00F11025" w:rsidRPr="00F11025" w:rsidRDefault="004731FD" w:rsidP="00DA4721">
      <w:pPr>
        <w:ind w:firstLine="709"/>
      </w:pPr>
      <w:r>
        <w:t>1.8</w:t>
      </w:r>
      <w:r w:rsidR="00F11025" w:rsidRPr="00F11025">
        <w:t xml:space="preserve">. Lietuvos energija, AB turi galimybes </w:t>
      </w:r>
      <w:r>
        <w:t>nustatyti nepagrįstas (pernelyg dideles</w:t>
      </w:r>
      <w:r w:rsidR="00491929">
        <w:t xml:space="preserve"> ar pernelyg mažas</w:t>
      </w:r>
      <w:r>
        <w:t>) kainas.</w:t>
      </w:r>
    </w:p>
    <w:p w:rsidR="00F11025" w:rsidRPr="00F11025" w:rsidRDefault="00964DFC" w:rsidP="00DA4721">
      <w:pPr>
        <w:ind w:firstLine="709"/>
      </w:pPr>
      <w:r>
        <w:t>2. Pritarti Elektros energijos rezervinės galios rinkos tyrimo ataskaitai</w:t>
      </w:r>
      <w:r w:rsidR="003D143E">
        <w:t>.</w:t>
      </w:r>
    </w:p>
    <w:p w:rsidR="00F11025" w:rsidRPr="00F11025" w:rsidRDefault="00964DFC" w:rsidP="00DA4721">
      <w:pPr>
        <w:ind w:firstLine="709"/>
      </w:pPr>
      <w:r>
        <w:t xml:space="preserve">3. </w:t>
      </w:r>
      <w:r w:rsidR="00F11025" w:rsidRPr="00F11025">
        <w:t xml:space="preserve">Pripažinti Lietuvos energija, AB didelę įtaką </w:t>
      </w:r>
      <w:r>
        <w:t>e</w:t>
      </w:r>
      <w:r w:rsidR="00F11025" w:rsidRPr="00F11025">
        <w:t>lektros energijos rezervinės galios rinkoje turinčiu asmeniu.</w:t>
      </w:r>
    </w:p>
    <w:p w:rsidR="00964DFC" w:rsidRDefault="00964DFC" w:rsidP="00DA4721">
      <w:pPr>
        <w:ind w:firstLine="709"/>
      </w:pPr>
      <w:r>
        <w:t xml:space="preserve">4. </w:t>
      </w:r>
      <w:r w:rsidR="008E5CA1">
        <w:t>N</w:t>
      </w:r>
      <w:r w:rsidR="008E5CA1" w:rsidRPr="00F11025">
        <w:t xml:space="preserve">ustatyti </w:t>
      </w:r>
      <w:r w:rsidR="008E5CA1">
        <w:t>d</w:t>
      </w:r>
      <w:r w:rsidR="00F11025" w:rsidRPr="00F11025">
        <w:t xml:space="preserve">idelę įtaką </w:t>
      </w:r>
      <w:r>
        <w:t xml:space="preserve">elektros energijos rezervinės galios </w:t>
      </w:r>
      <w:r w:rsidR="00F11025" w:rsidRPr="00F11025">
        <w:t>rinkoje turinčiam asmeniui Lietuvos energija, AB</w:t>
      </w:r>
      <w:r>
        <w:t>:</w:t>
      </w:r>
    </w:p>
    <w:p w:rsidR="00964DFC" w:rsidRPr="00B42B1E" w:rsidRDefault="00964DFC" w:rsidP="00DA4721">
      <w:pPr>
        <w:ind w:firstLine="709"/>
      </w:pPr>
      <w:r>
        <w:t>4.1.</w:t>
      </w:r>
      <w:r w:rsidR="00F11025" w:rsidRPr="00F11025">
        <w:t xml:space="preserve"> apskaitos atskyrimo įpareigojimą</w:t>
      </w:r>
      <w:r w:rsidR="00DA4721">
        <w:t xml:space="preserve">. </w:t>
      </w:r>
      <w:r w:rsidR="00DA4721" w:rsidRPr="00B42B1E">
        <w:t>Didelę įtaką elektros energijos rezervinės galios paslaugų rinkoje turintis asmuo Lietuvos energija, AB, vadovaujantis Elektros energijos kainos ir rezervinės galios paslaugų kainų užtikrinimo metodikos 6.2 punktu, privalo atskleisti elektros energijos rezervinės galios užtikrinimo paslaugų sąnaudų, įskaitant investicijų grąžos normą, formavimąsi, vadovaudamasis Elektros energijos kainos ir rezervinės galios paslaugų kainų užtikrinimo metodikos nuostatomis</w:t>
      </w:r>
      <w:r w:rsidR="00354657">
        <w:t>;</w:t>
      </w:r>
    </w:p>
    <w:p w:rsidR="00B42B1E" w:rsidRDefault="00964DFC" w:rsidP="00C846D9">
      <w:pPr>
        <w:ind w:firstLine="709"/>
      </w:pPr>
      <w:r w:rsidRPr="00B42B1E">
        <w:lastRenderedPageBreak/>
        <w:t>4.2.</w:t>
      </w:r>
      <w:r w:rsidR="00996396" w:rsidRPr="00B42B1E">
        <w:t xml:space="preserve"> </w:t>
      </w:r>
      <w:r w:rsidR="00F11025" w:rsidRPr="00B42B1E">
        <w:t>įpareigojimą teikti paslaugas sąnaudomis pagrįstomis kainomis.</w:t>
      </w:r>
      <w:r w:rsidR="00DA4721" w:rsidRPr="00B42B1E">
        <w:t xml:space="preserve"> Didelę įtaką elektros energijos rezervinės galios rinkoje turinti</w:t>
      </w:r>
      <w:r w:rsidR="008E5CA1" w:rsidRPr="00B42B1E">
        <w:t>s</w:t>
      </w:r>
      <w:r w:rsidR="00DA4721" w:rsidRPr="00B42B1E">
        <w:t xml:space="preserve"> asmuo Lietuvos energija, AB privalo teikti </w:t>
      </w:r>
      <w:r w:rsidR="00B42B1E" w:rsidRPr="00B42B1E">
        <w:t>e</w:t>
      </w:r>
      <w:r w:rsidR="00DA4721" w:rsidRPr="00B42B1E">
        <w:t>lektros energijos rezervinės galios paslaugas sąnaudomis pagrįstomis kainomis. Sąnaudų priskyrimas elektros energijos rezervinės galios paslaugoms turi būti atliekamas, vadovaujantis Elektros energijos kainos ir rezervinės galios paslaugų kainų užtikrinimo metodikos</w:t>
      </w:r>
      <w:r w:rsidR="009F57AB" w:rsidRPr="00B42B1E">
        <w:t xml:space="preserve"> </w:t>
      </w:r>
      <w:r w:rsidR="00DA4721" w:rsidRPr="00B42B1E">
        <w:t>nuostatomis.</w:t>
      </w:r>
      <w:r w:rsidR="00DA4721" w:rsidRPr="00944A21">
        <w:t xml:space="preserve"> </w:t>
      </w:r>
    </w:p>
    <w:p w:rsidR="00F11025" w:rsidRPr="00F11025" w:rsidRDefault="00964DFC" w:rsidP="00C846D9">
      <w:pPr>
        <w:ind w:firstLine="709"/>
      </w:pPr>
      <w:r>
        <w:t xml:space="preserve">5. </w:t>
      </w:r>
      <w:r w:rsidR="00F11025" w:rsidRPr="00F11025">
        <w:t xml:space="preserve">Nustatyti didelę įtaką elektros energijos rezervinės galios rinkoje turinčiam asmeniui </w:t>
      </w:r>
      <w:r w:rsidR="00FC43ED">
        <w:br/>
      </w:r>
      <w:r w:rsidR="00F11025" w:rsidRPr="00F11025">
        <w:t>Lietuvos energij</w:t>
      </w:r>
      <w:r>
        <w:t>a</w:t>
      </w:r>
      <w:r w:rsidR="00F11025" w:rsidRPr="00F11025">
        <w:t>, AB šių elektros energijos rezervinės galios paslaugų kain</w:t>
      </w:r>
      <w:r w:rsidR="00672596">
        <w:t>ų viršutines ribas</w:t>
      </w:r>
      <w:r w:rsidR="00F11025" w:rsidRPr="00F11025">
        <w:t>:</w:t>
      </w:r>
    </w:p>
    <w:p w:rsidR="00F11025" w:rsidRPr="00F11025" w:rsidRDefault="00964DFC" w:rsidP="00F11025">
      <w:pPr>
        <w:ind w:left="720"/>
      </w:pPr>
      <w:r>
        <w:t>5</w:t>
      </w:r>
      <w:r w:rsidR="00F11025" w:rsidRPr="00F11025">
        <w:t>.1. pirminio aktyviosios galios rezervo</w:t>
      </w:r>
      <w:r w:rsidR="00354657">
        <w:t>;</w:t>
      </w:r>
      <w:r w:rsidR="00F11025" w:rsidRPr="00F11025">
        <w:t xml:space="preserve"> </w:t>
      </w:r>
    </w:p>
    <w:p w:rsidR="00F11025" w:rsidRPr="00F11025" w:rsidRDefault="00964DFC" w:rsidP="00F11025">
      <w:pPr>
        <w:ind w:left="720"/>
      </w:pPr>
      <w:r>
        <w:t>5</w:t>
      </w:r>
      <w:r w:rsidR="00F11025" w:rsidRPr="00F11025">
        <w:t>.2. antrinio avarinio aktyviosios galios rezervo</w:t>
      </w:r>
      <w:r w:rsidR="00354657">
        <w:t>;</w:t>
      </w:r>
      <w:r w:rsidR="00F11025" w:rsidRPr="00F11025">
        <w:t xml:space="preserve"> </w:t>
      </w:r>
    </w:p>
    <w:p w:rsidR="00F11025" w:rsidRPr="00F11025" w:rsidRDefault="00964DFC" w:rsidP="00F11025">
      <w:pPr>
        <w:ind w:left="720"/>
      </w:pPr>
      <w:r>
        <w:t>5</w:t>
      </w:r>
      <w:r w:rsidR="00F11025" w:rsidRPr="00F11025">
        <w:t>.3. antrinio aktyviosios galios rezervo nuokrypiams reguliuoti</w:t>
      </w:r>
      <w:r w:rsidR="00354657">
        <w:t>;</w:t>
      </w:r>
      <w:r w:rsidR="00F11025" w:rsidRPr="00F11025">
        <w:t xml:space="preserve"> </w:t>
      </w:r>
    </w:p>
    <w:p w:rsidR="00F11025" w:rsidRPr="00F11025" w:rsidRDefault="00964DFC" w:rsidP="00F11025">
      <w:pPr>
        <w:ind w:left="720"/>
      </w:pPr>
      <w:r>
        <w:t>5</w:t>
      </w:r>
      <w:r w:rsidR="00F11025" w:rsidRPr="00F11025">
        <w:t>.4. tretinio aktyviosios galios rezervo</w:t>
      </w:r>
      <w:r w:rsidR="00354657">
        <w:t>;</w:t>
      </w:r>
      <w:r w:rsidR="00F11025" w:rsidRPr="00F11025">
        <w:t xml:space="preserve"> </w:t>
      </w:r>
    </w:p>
    <w:p w:rsidR="00F11025" w:rsidRPr="00F11025" w:rsidRDefault="00964DFC" w:rsidP="00F11025">
      <w:pPr>
        <w:ind w:left="720"/>
      </w:pPr>
      <w:r>
        <w:t>5</w:t>
      </w:r>
      <w:r w:rsidR="00F11025" w:rsidRPr="00F11025">
        <w:t>.5. reaktyviosios galios ir įtampos valdymo</w:t>
      </w:r>
      <w:r w:rsidR="00354657">
        <w:t>;</w:t>
      </w:r>
      <w:r w:rsidR="00F11025" w:rsidRPr="00F11025">
        <w:t xml:space="preserve"> </w:t>
      </w:r>
    </w:p>
    <w:p w:rsidR="00F11025" w:rsidRPr="00F11025" w:rsidRDefault="00964DFC" w:rsidP="00F11025">
      <w:pPr>
        <w:ind w:left="720"/>
      </w:pPr>
      <w:r>
        <w:t>5</w:t>
      </w:r>
      <w:r w:rsidR="00F11025" w:rsidRPr="00F11025">
        <w:t>.6. avarijų, sutrikimų prevencijos ir jų likvidavimo paslaug</w:t>
      </w:r>
      <w:r w:rsidR="00354657">
        <w:t>ų</w:t>
      </w:r>
      <w:r w:rsidR="009F57AB">
        <w:t>.</w:t>
      </w:r>
    </w:p>
    <w:p w:rsidR="00C10F99" w:rsidRPr="00F11025" w:rsidRDefault="00C10F99" w:rsidP="00C10F99">
      <w:pPr>
        <w:ind w:firstLine="567"/>
        <w:rPr>
          <w:color w:val="000000"/>
        </w:rPr>
      </w:pPr>
      <w:r w:rsidRPr="00F11025">
        <w:rPr>
          <w:color w:val="000000"/>
        </w:rPr>
        <w:t>Šis nutarimas gali būti skundžiamas Lietuvos Respublikos administracinių bylų teisenos įstatymo (Žin., 1999, Nr. 13-308; 2000, Nr. 85-2566) nustatyta tvarka ir sąlygomis.</w:t>
      </w:r>
    </w:p>
    <w:p w:rsidR="00C10F99" w:rsidRPr="00F11025" w:rsidRDefault="00C10F99" w:rsidP="00C10F99">
      <w:pPr>
        <w:spacing w:line="360" w:lineRule="auto"/>
      </w:pPr>
    </w:p>
    <w:p w:rsidR="00C10F99" w:rsidRPr="00F11025" w:rsidRDefault="00C10F99" w:rsidP="00C10F99">
      <w:pPr>
        <w:spacing w:line="360" w:lineRule="auto"/>
      </w:pPr>
    </w:p>
    <w:p w:rsidR="00C10F99" w:rsidRDefault="00C10F99" w:rsidP="00C10F99">
      <w:pPr>
        <w:spacing w:line="360" w:lineRule="auto"/>
      </w:pPr>
      <w:r w:rsidRPr="00F11025">
        <w:t>Komisijos pirminink</w:t>
      </w:r>
      <w:r w:rsidR="00521223">
        <w:t>ė</w:t>
      </w:r>
      <w:r w:rsidR="00521223">
        <w:tab/>
      </w:r>
      <w:r w:rsidR="00521223">
        <w:tab/>
      </w:r>
      <w:r w:rsidR="00521223">
        <w:tab/>
      </w:r>
      <w:r w:rsidR="00521223">
        <w:tab/>
      </w:r>
      <w:r w:rsidR="00521223">
        <w:tab/>
        <w:t xml:space="preserve">  Diana Korsakaitė</w:t>
      </w:r>
    </w:p>
    <w:p w:rsidR="00964DFC" w:rsidRPr="00F11025" w:rsidRDefault="00964DFC" w:rsidP="00C10F99">
      <w:pPr>
        <w:spacing w:line="360" w:lineRule="auto"/>
      </w:pPr>
    </w:p>
    <w:sectPr w:rsidR="00964DFC" w:rsidRPr="00F11025" w:rsidSect="00CE5456">
      <w:headerReference w:type="default" r:id="rId10"/>
      <w:footerReference w:type="even" r:id="rId11"/>
      <w:headerReference w:type="first" r:id="rId12"/>
      <w:footerReference w:type="first" r:id="rId13"/>
      <w:pgSz w:w="11906" w:h="16838"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E76" w:rsidRDefault="008C1E76">
      <w:r>
        <w:separator/>
      </w:r>
    </w:p>
  </w:endnote>
  <w:endnote w:type="continuationSeparator" w:id="0">
    <w:p w:rsidR="008C1E76" w:rsidRDefault="008C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456" w:rsidRDefault="00CE54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E5456" w:rsidRDefault="00CE54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456" w:rsidRDefault="00CE5456">
    <w:pPr>
      <w:pStyle w:val="Footer"/>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E76" w:rsidRDefault="008C1E76">
      <w:r>
        <w:separator/>
      </w:r>
    </w:p>
  </w:footnote>
  <w:footnote w:type="continuationSeparator" w:id="0">
    <w:p w:rsidR="008C1E76" w:rsidRDefault="008C1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456" w:rsidRDefault="00CE5456">
    <w:pPr>
      <w:pStyle w:val="Header"/>
      <w:jc w:val="center"/>
    </w:pPr>
    <w:r>
      <w:rPr>
        <w:rStyle w:val="PageNumber"/>
      </w:rPr>
      <w:fldChar w:fldCharType="begin"/>
    </w:r>
    <w:r>
      <w:rPr>
        <w:rStyle w:val="PageNumber"/>
      </w:rPr>
      <w:instrText xml:space="preserve"> PAGE </w:instrText>
    </w:r>
    <w:r>
      <w:rPr>
        <w:rStyle w:val="PageNumber"/>
      </w:rPr>
      <w:fldChar w:fldCharType="separate"/>
    </w:r>
    <w:r w:rsidR="00181286">
      <w:rPr>
        <w:rStyle w:val="PageNumber"/>
        <w:noProof/>
      </w:rPr>
      <w:t>2</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456" w:rsidRDefault="00CE5456">
    <w:pPr>
      <w:pStyle w:val="Header"/>
    </w:pPr>
    <w:r>
      <w:tab/>
    </w:r>
    <w:r w:rsidRPr="003638A8">
      <w:rPr>
        <w: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650EB"/>
    <w:multiLevelType w:val="hybridMultilevel"/>
    <w:tmpl w:val="1B283E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F99"/>
    <w:rsid w:val="00050128"/>
    <w:rsid w:val="000514EC"/>
    <w:rsid w:val="00055B1B"/>
    <w:rsid w:val="000808DB"/>
    <w:rsid w:val="000911FD"/>
    <w:rsid w:val="00093206"/>
    <w:rsid w:val="0009792B"/>
    <w:rsid w:val="000B40BE"/>
    <w:rsid w:val="000D3DFD"/>
    <w:rsid w:val="00125EE7"/>
    <w:rsid w:val="00131938"/>
    <w:rsid w:val="00135633"/>
    <w:rsid w:val="0015228D"/>
    <w:rsid w:val="00181286"/>
    <w:rsid w:val="0020392B"/>
    <w:rsid w:val="002252BE"/>
    <w:rsid w:val="00234C75"/>
    <w:rsid w:val="0026609C"/>
    <w:rsid w:val="00280ABE"/>
    <w:rsid w:val="002D3C06"/>
    <w:rsid w:val="002D6897"/>
    <w:rsid w:val="00323D24"/>
    <w:rsid w:val="00341C9F"/>
    <w:rsid w:val="00354657"/>
    <w:rsid w:val="003C43D0"/>
    <w:rsid w:val="003D143E"/>
    <w:rsid w:val="00435B47"/>
    <w:rsid w:val="004731FD"/>
    <w:rsid w:val="00491929"/>
    <w:rsid w:val="00514F2D"/>
    <w:rsid w:val="00521223"/>
    <w:rsid w:val="00525C66"/>
    <w:rsid w:val="00530AED"/>
    <w:rsid w:val="00535DE3"/>
    <w:rsid w:val="0053672B"/>
    <w:rsid w:val="00537BCF"/>
    <w:rsid w:val="0056158A"/>
    <w:rsid w:val="005938BD"/>
    <w:rsid w:val="005B4146"/>
    <w:rsid w:val="005D582B"/>
    <w:rsid w:val="00612947"/>
    <w:rsid w:val="0066007E"/>
    <w:rsid w:val="0066261C"/>
    <w:rsid w:val="006627B9"/>
    <w:rsid w:val="00672596"/>
    <w:rsid w:val="006F605C"/>
    <w:rsid w:val="0075548D"/>
    <w:rsid w:val="0076602B"/>
    <w:rsid w:val="0077454D"/>
    <w:rsid w:val="007B75BD"/>
    <w:rsid w:val="00893644"/>
    <w:rsid w:val="008B095A"/>
    <w:rsid w:val="008C1E76"/>
    <w:rsid w:val="008E5CA1"/>
    <w:rsid w:val="00962B22"/>
    <w:rsid w:val="00964DFC"/>
    <w:rsid w:val="0099124C"/>
    <w:rsid w:val="00996396"/>
    <w:rsid w:val="009F57AB"/>
    <w:rsid w:val="00A177CE"/>
    <w:rsid w:val="00A31DF9"/>
    <w:rsid w:val="00A41FFA"/>
    <w:rsid w:val="00A81A1B"/>
    <w:rsid w:val="00AC69B9"/>
    <w:rsid w:val="00AC72D0"/>
    <w:rsid w:val="00AD37BD"/>
    <w:rsid w:val="00B42B1E"/>
    <w:rsid w:val="00B4456F"/>
    <w:rsid w:val="00B54F1A"/>
    <w:rsid w:val="00B710C6"/>
    <w:rsid w:val="00BA6A33"/>
    <w:rsid w:val="00BF3D32"/>
    <w:rsid w:val="00C04CA5"/>
    <w:rsid w:val="00C10F99"/>
    <w:rsid w:val="00C30A36"/>
    <w:rsid w:val="00C316E3"/>
    <w:rsid w:val="00C51F65"/>
    <w:rsid w:val="00C846D9"/>
    <w:rsid w:val="00CA5401"/>
    <w:rsid w:val="00CB728C"/>
    <w:rsid w:val="00CE5456"/>
    <w:rsid w:val="00CF4F24"/>
    <w:rsid w:val="00D6446C"/>
    <w:rsid w:val="00D86172"/>
    <w:rsid w:val="00DA4721"/>
    <w:rsid w:val="00DF6C0B"/>
    <w:rsid w:val="00E001F8"/>
    <w:rsid w:val="00E01618"/>
    <w:rsid w:val="00E24EBD"/>
    <w:rsid w:val="00E87198"/>
    <w:rsid w:val="00E926C8"/>
    <w:rsid w:val="00EB0FE1"/>
    <w:rsid w:val="00F11025"/>
    <w:rsid w:val="00F4684C"/>
    <w:rsid w:val="00F84BBA"/>
    <w:rsid w:val="00F86A7F"/>
    <w:rsid w:val="00FC43ED"/>
    <w:rsid w:val="00FC7A59"/>
    <w:rsid w:val="00FD044B"/>
    <w:rsid w:val="00FF3B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0F99"/>
    <w:pPr>
      <w:jc w:val="both"/>
    </w:pPr>
    <w:rPr>
      <w:sz w:val="24"/>
      <w:lang w:eastAsia="en-US"/>
    </w:rPr>
  </w:style>
  <w:style w:type="paragraph" w:styleId="Heading1">
    <w:name w:val="heading 1"/>
    <w:basedOn w:val="Normal"/>
    <w:next w:val="Normal"/>
    <w:link w:val="Heading1Char"/>
    <w:qFormat/>
    <w:rsid w:val="00C10F99"/>
    <w:pPr>
      <w:keepNext/>
      <w:jc w:val="right"/>
      <w:outlineLvl w:val="0"/>
    </w:pPr>
    <w:rPr>
      <w:b/>
      <w:lang w:val="x-none" w:eastAsia="x-none"/>
    </w:rPr>
  </w:style>
  <w:style w:type="paragraph" w:styleId="Heading3">
    <w:name w:val="heading 3"/>
    <w:basedOn w:val="Normal"/>
    <w:next w:val="Normal"/>
    <w:qFormat/>
    <w:rsid w:val="00F86A7F"/>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C10F99"/>
    <w:pPr>
      <w:tabs>
        <w:tab w:val="center" w:pos="4153"/>
        <w:tab w:val="right" w:pos="8306"/>
      </w:tabs>
    </w:pPr>
  </w:style>
  <w:style w:type="paragraph" w:styleId="Footer">
    <w:name w:val="footer"/>
    <w:basedOn w:val="Normal"/>
    <w:rsid w:val="00C10F99"/>
    <w:pPr>
      <w:tabs>
        <w:tab w:val="center" w:pos="4153"/>
        <w:tab w:val="right" w:pos="8306"/>
      </w:tabs>
    </w:pPr>
  </w:style>
  <w:style w:type="character" w:styleId="PageNumber">
    <w:name w:val="page number"/>
    <w:basedOn w:val="DefaultParagraphFont"/>
    <w:rsid w:val="00C10F99"/>
  </w:style>
  <w:style w:type="character" w:customStyle="1" w:styleId="HeaderChar">
    <w:name w:val="Header Char"/>
    <w:basedOn w:val="DefaultParagraphFont"/>
    <w:link w:val="Header"/>
    <w:rsid w:val="00C10F99"/>
    <w:rPr>
      <w:sz w:val="24"/>
      <w:lang w:val="lt-LT" w:eastAsia="en-US" w:bidi="ar-SA"/>
    </w:rPr>
  </w:style>
  <w:style w:type="character" w:customStyle="1" w:styleId="Heading1Char">
    <w:name w:val="Heading 1 Char"/>
    <w:basedOn w:val="DefaultParagraphFont"/>
    <w:link w:val="Heading1"/>
    <w:rsid w:val="00C10F99"/>
    <w:rPr>
      <w:b/>
      <w:sz w:val="24"/>
      <w:lang w:val="x-none" w:eastAsia="x-none" w:bidi="ar-SA"/>
    </w:rPr>
  </w:style>
  <w:style w:type="paragraph" w:customStyle="1" w:styleId="StyleBoldAllcapsLeftBefore8pt">
    <w:name w:val="Style Bold All caps Left Before:  8 pt"/>
    <w:basedOn w:val="Normal"/>
    <w:next w:val="Header"/>
    <w:rsid w:val="00F86A7F"/>
    <w:pPr>
      <w:spacing w:before="160"/>
      <w:jc w:val="left"/>
    </w:pPr>
    <w:rPr>
      <w:b/>
      <w:bCs/>
      <w:caps/>
    </w:rPr>
  </w:style>
  <w:style w:type="character" w:styleId="CommentReference">
    <w:name w:val="annotation reference"/>
    <w:basedOn w:val="DefaultParagraphFont"/>
    <w:rsid w:val="00125EE7"/>
    <w:rPr>
      <w:sz w:val="16"/>
      <w:szCs w:val="16"/>
    </w:rPr>
  </w:style>
  <w:style w:type="paragraph" w:styleId="CommentText">
    <w:name w:val="annotation text"/>
    <w:basedOn w:val="Normal"/>
    <w:link w:val="CommentTextChar"/>
    <w:rsid w:val="00125EE7"/>
    <w:rPr>
      <w:sz w:val="20"/>
    </w:rPr>
  </w:style>
  <w:style w:type="character" w:customStyle="1" w:styleId="CommentTextChar">
    <w:name w:val="Comment Text Char"/>
    <w:basedOn w:val="DefaultParagraphFont"/>
    <w:link w:val="CommentText"/>
    <w:rsid w:val="00125EE7"/>
    <w:rPr>
      <w:lang w:eastAsia="en-US"/>
    </w:rPr>
  </w:style>
  <w:style w:type="paragraph" w:styleId="CommentSubject">
    <w:name w:val="annotation subject"/>
    <w:basedOn w:val="CommentText"/>
    <w:next w:val="CommentText"/>
    <w:link w:val="CommentSubjectChar"/>
    <w:rsid w:val="00125EE7"/>
    <w:rPr>
      <w:b/>
      <w:bCs/>
    </w:rPr>
  </w:style>
  <w:style w:type="character" w:customStyle="1" w:styleId="CommentSubjectChar">
    <w:name w:val="Comment Subject Char"/>
    <w:basedOn w:val="CommentTextChar"/>
    <w:link w:val="CommentSubject"/>
    <w:rsid w:val="00125EE7"/>
    <w:rPr>
      <w:b/>
      <w:bCs/>
      <w:lang w:eastAsia="en-US"/>
    </w:rPr>
  </w:style>
  <w:style w:type="paragraph" w:styleId="BalloonText">
    <w:name w:val="Balloon Text"/>
    <w:basedOn w:val="Normal"/>
    <w:link w:val="BalloonTextChar"/>
    <w:rsid w:val="00125EE7"/>
    <w:rPr>
      <w:rFonts w:ascii="Tahoma" w:hAnsi="Tahoma" w:cs="Tahoma"/>
      <w:sz w:val="16"/>
      <w:szCs w:val="16"/>
    </w:rPr>
  </w:style>
  <w:style w:type="character" w:customStyle="1" w:styleId="BalloonTextChar">
    <w:name w:val="Balloon Text Char"/>
    <w:basedOn w:val="DefaultParagraphFont"/>
    <w:link w:val="BalloonText"/>
    <w:rsid w:val="00125EE7"/>
    <w:rPr>
      <w:rFonts w:ascii="Tahoma" w:hAnsi="Tahoma" w:cs="Tahoma"/>
      <w:sz w:val="16"/>
      <w:szCs w:val="16"/>
      <w:lang w:eastAsia="en-US"/>
    </w:rPr>
  </w:style>
  <w:style w:type="paragraph" w:styleId="BodyTextIndent2">
    <w:name w:val="Body Text Indent 2"/>
    <w:basedOn w:val="Normal"/>
    <w:link w:val="BodyTextIndent2Char"/>
    <w:rsid w:val="0056158A"/>
    <w:pPr>
      <w:ind w:left="454"/>
    </w:pPr>
    <w:rPr>
      <w:color w:val="000000"/>
      <w:szCs w:val="24"/>
    </w:rPr>
  </w:style>
  <w:style w:type="character" w:customStyle="1" w:styleId="BodyTextIndent2Char">
    <w:name w:val="Body Text Indent 2 Char"/>
    <w:basedOn w:val="DefaultParagraphFont"/>
    <w:link w:val="BodyTextIndent2"/>
    <w:rsid w:val="0056158A"/>
    <w:rPr>
      <w:color w:val="000000"/>
      <w:sz w:val="24"/>
      <w:szCs w:val="24"/>
      <w:lang w:eastAsia="en-US"/>
    </w:rPr>
  </w:style>
  <w:style w:type="character" w:customStyle="1" w:styleId="quatationtext">
    <w:name w:val="quatation_text"/>
    <w:rsid w:val="0056158A"/>
  </w:style>
  <w:style w:type="character" w:customStyle="1" w:styleId="zinlist">
    <w:name w:val="zin_list"/>
    <w:basedOn w:val="DefaultParagraphFont"/>
    <w:rsid w:val="00C84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0F99"/>
    <w:pPr>
      <w:jc w:val="both"/>
    </w:pPr>
    <w:rPr>
      <w:sz w:val="24"/>
      <w:lang w:eastAsia="en-US"/>
    </w:rPr>
  </w:style>
  <w:style w:type="paragraph" w:styleId="Heading1">
    <w:name w:val="heading 1"/>
    <w:basedOn w:val="Normal"/>
    <w:next w:val="Normal"/>
    <w:link w:val="Heading1Char"/>
    <w:qFormat/>
    <w:rsid w:val="00C10F99"/>
    <w:pPr>
      <w:keepNext/>
      <w:jc w:val="right"/>
      <w:outlineLvl w:val="0"/>
    </w:pPr>
    <w:rPr>
      <w:b/>
      <w:lang w:val="x-none" w:eastAsia="x-none"/>
    </w:rPr>
  </w:style>
  <w:style w:type="paragraph" w:styleId="Heading3">
    <w:name w:val="heading 3"/>
    <w:basedOn w:val="Normal"/>
    <w:next w:val="Normal"/>
    <w:qFormat/>
    <w:rsid w:val="00F86A7F"/>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C10F99"/>
    <w:pPr>
      <w:tabs>
        <w:tab w:val="center" w:pos="4153"/>
        <w:tab w:val="right" w:pos="8306"/>
      </w:tabs>
    </w:pPr>
  </w:style>
  <w:style w:type="paragraph" w:styleId="Footer">
    <w:name w:val="footer"/>
    <w:basedOn w:val="Normal"/>
    <w:rsid w:val="00C10F99"/>
    <w:pPr>
      <w:tabs>
        <w:tab w:val="center" w:pos="4153"/>
        <w:tab w:val="right" w:pos="8306"/>
      </w:tabs>
    </w:pPr>
  </w:style>
  <w:style w:type="character" w:styleId="PageNumber">
    <w:name w:val="page number"/>
    <w:basedOn w:val="DefaultParagraphFont"/>
    <w:rsid w:val="00C10F99"/>
  </w:style>
  <w:style w:type="character" w:customStyle="1" w:styleId="HeaderChar">
    <w:name w:val="Header Char"/>
    <w:basedOn w:val="DefaultParagraphFont"/>
    <w:link w:val="Header"/>
    <w:rsid w:val="00C10F99"/>
    <w:rPr>
      <w:sz w:val="24"/>
      <w:lang w:val="lt-LT" w:eastAsia="en-US" w:bidi="ar-SA"/>
    </w:rPr>
  </w:style>
  <w:style w:type="character" w:customStyle="1" w:styleId="Heading1Char">
    <w:name w:val="Heading 1 Char"/>
    <w:basedOn w:val="DefaultParagraphFont"/>
    <w:link w:val="Heading1"/>
    <w:rsid w:val="00C10F99"/>
    <w:rPr>
      <w:b/>
      <w:sz w:val="24"/>
      <w:lang w:val="x-none" w:eastAsia="x-none" w:bidi="ar-SA"/>
    </w:rPr>
  </w:style>
  <w:style w:type="paragraph" w:customStyle="1" w:styleId="StyleBoldAllcapsLeftBefore8pt">
    <w:name w:val="Style Bold All caps Left Before:  8 pt"/>
    <w:basedOn w:val="Normal"/>
    <w:next w:val="Header"/>
    <w:rsid w:val="00F86A7F"/>
    <w:pPr>
      <w:spacing w:before="160"/>
      <w:jc w:val="left"/>
    </w:pPr>
    <w:rPr>
      <w:b/>
      <w:bCs/>
      <w:caps/>
    </w:rPr>
  </w:style>
  <w:style w:type="character" w:styleId="CommentReference">
    <w:name w:val="annotation reference"/>
    <w:basedOn w:val="DefaultParagraphFont"/>
    <w:rsid w:val="00125EE7"/>
    <w:rPr>
      <w:sz w:val="16"/>
      <w:szCs w:val="16"/>
    </w:rPr>
  </w:style>
  <w:style w:type="paragraph" w:styleId="CommentText">
    <w:name w:val="annotation text"/>
    <w:basedOn w:val="Normal"/>
    <w:link w:val="CommentTextChar"/>
    <w:rsid w:val="00125EE7"/>
    <w:rPr>
      <w:sz w:val="20"/>
    </w:rPr>
  </w:style>
  <w:style w:type="character" w:customStyle="1" w:styleId="CommentTextChar">
    <w:name w:val="Comment Text Char"/>
    <w:basedOn w:val="DefaultParagraphFont"/>
    <w:link w:val="CommentText"/>
    <w:rsid w:val="00125EE7"/>
    <w:rPr>
      <w:lang w:eastAsia="en-US"/>
    </w:rPr>
  </w:style>
  <w:style w:type="paragraph" w:styleId="CommentSubject">
    <w:name w:val="annotation subject"/>
    <w:basedOn w:val="CommentText"/>
    <w:next w:val="CommentText"/>
    <w:link w:val="CommentSubjectChar"/>
    <w:rsid w:val="00125EE7"/>
    <w:rPr>
      <w:b/>
      <w:bCs/>
    </w:rPr>
  </w:style>
  <w:style w:type="character" w:customStyle="1" w:styleId="CommentSubjectChar">
    <w:name w:val="Comment Subject Char"/>
    <w:basedOn w:val="CommentTextChar"/>
    <w:link w:val="CommentSubject"/>
    <w:rsid w:val="00125EE7"/>
    <w:rPr>
      <w:b/>
      <w:bCs/>
      <w:lang w:eastAsia="en-US"/>
    </w:rPr>
  </w:style>
  <w:style w:type="paragraph" w:styleId="BalloonText">
    <w:name w:val="Balloon Text"/>
    <w:basedOn w:val="Normal"/>
    <w:link w:val="BalloonTextChar"/>
    <w:rsid w:val="00125EE7"/>
    <w:rPr>
      <w:rFonts w:ascii="Tahoma" w:hAnsi="Tahoma" w:cs="Tahoma"/>
      <w:sz w:val="16"/>
      <w:szCs w:val="16"/>
    </w:rPr>
  </w:style>
  <w:style w:type="character" w:customStyle="1" w:styleId="BalloonTextChar">
    <w:name w:val="Balloon Text Char"/>
    <w:basedOn w:val="DefaultParagraphFont"/>
    <w:link w:val="BalloonText"/>
    <w:rsid w:val="00125EE7"/>
    <w:rPr>
      <w:rFonts w:ascii="Tahoma" w:hAnsi="Tahoma" w:cs="Tahoma"/>
      <w:sz w:val="16"/>
      <w:szCs w:val="16"/>
      <w:lang w:eastAsia="en-US"/>
    </w:rPr>
  </w:style>
  <w:style w:type="paragraph" w:styleId="BodyTextIndent2">
    <w:name w:val="Body Text Indent 2"/>
    <w:basedOn w:val="Normal"/>
    <w:link w:val="BodyTextIndent2Char"/>
    <w:rsid w:val="0056158A"/>
    <w:pPr>
      <w:ind w:left="454"/>
    </w:pPr>
    <w:rPr>
      <w:color w:val="000000"/>
      <w:szCs w:val="24"/>
    </w:rPr>
  </w:style>
  <w:style w:type="character" w:customStyle="1" w:styleId="BodyTextIndent2Char">
    <w:name w:val="Body Text Indent 2 Char"/>
    <w:basedOn w:val="DefaultParagraphFont"/>
    <w:link w:val="BodyTextIndent2"/>
    <w:rsid w:val="0056158A"/>
    <w:rPr>
      <w:color w:val="000000"/>
      <w:sz w:val="24"/>
      <w:szCs w:val="24"/>
      <w:lang w:eastAsia="en-US"/>
    </w:rPr>
  </w:style>
  <w:style w:type="character" w:customStyle="1" w:styleId="quatationtext">
    <w:name w:val="quatation_text"/>
    <w:rsid w:val="0056158A"/>
  </w:style>
  <w:style w:type="character" w:customStyle="1" w:styleId="zinlist">
    <w:name w:val="zin_list"/>
    <w:basedOn w:val="DefaultParagraphFont"/>
    <w:rsid w:val="00C84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CB496B0C076984283272B1C06F9FFD5" ma:contentTypeVersion="1" ma:contentTypeDescription="Kurkite naują dokumentą." ma:contentTypeScope="" ma:versionID="12f3573081778c726d58c8d2be673809">
  <xsd:schema xmlns:xsd="http://www.w3.org/2001/XMLSchema" xmlns:xs="http://www.w3.org/2001/XMLSchema" xmlns:p="http://schemas.microsoft.com/office/2006/metadata/properties" xmlns:ns2="e8ad8025-1eb2-494f-b36d-1013a19dfede" targetNamespace="http://schemas.microsoft.com/office/2006/metadata/properties" ma:root="true" ma:fieldsID="3f56b2765a7b4bb6a831665d10b98698" ns2:_="">
    <xsd:import namespace="e8ad8025-1eb2-494f-b36d-1013a19dfed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d8025-1eb2-494f-b36d-1013a19dfed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B5286-EEDB-40EC-852F-A6D54F61C57C}"/>
</file>

<file path=customXml/itemProps2.xml><?xml version="1.0" encoding="utf-8"?>
<ds:datastoreItem xmlns:ds="http://schemas.openxmlformats.org/officeDocument/2006/customXml" ds:itemID="{26DE5930-7872-495E-92CD-759133D68598}"/>
</file>

<file path=customXml/itemProps3.xml><?xml version="1.0" encoding="utf-8"?>
<ds:datastoreItem xmlns:ds="http://schemas.openxmlformats.org/officeDocument/2006/customXml" ds:itemID="{BC56287E-7EED-49CE-8572-E09D420EF5F3}"/>
</file>

<file path=customXml/itemProps4.xml><?xml version="1.0" encoding="utf-8"?>
<ds:datastoreItem xmlns:ds="http://schemas.openxmlformats.org/officeDocument/2006/customXml" ds:itemID="{3A56C69C-8408-4703-9F0F-B333F64DEE9A}"/>
</file>

<file path=docProps/app.xml><?xml version="1.0" encoding="utf-8"?>
<Properties xmlns="http://schemas.openxmlformats.org/officeDocument/2006/extended-properties" xmlns:vt="http://schemas.openxmlformats.org/officeDocument/2006/docPropsVTypes">
  <Template>Normal</Template>
  <TotalTime>0</TotalTime>
  <Pages>2</Pages>
  <Words>2831</Words>
  <Characters>1615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VALSTYBINĖ KAINŲ IR ENERGETIKOS KONTROLĖS KOMISIJA</vt:lpstr>
    </vt:vector>
  </TitlesOfParts>
  <Company>HP</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 KAINŲ IR ENERGETIKOS KONTROLĖS KOMISIJA</dc:title>
  <dc:creator>rimgaile_baliunaite</dc:creator>
  <cp:lastModifiedBy>Aiste.G</cp:lastModifiedBy>
  <cp:revision>2</cp:revision>
  <cp:lastPrinted>2012-09-27T08:56:00Z</cp:lastPrinted>
  <dcterms:created xsi:type="dcterms:W3CDTF">2014-02-25T15:11:00Z</dcterms:created>
  <dcterms:modified xsi:type="dcterms:W3CDTF">2014-02-25T15:11:00Z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0x0101008CB496B0C076984283272B1C06F9FFD5</vt:lpwstr>
  </property>
</Properties>
</file>